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5"/>
        <w:gridCol w:w="5227.5"/>
        <w:gridCol w:w="5227.5"/>
        <w:tblGridChange w:id="0">
          <w:tblGrid>
            <w:gridCol w:w="2505"/>
            <w:gridCol w:w="5227.5"/>
            <w:gridCol w:w="5227.5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stands out to you the most about this particular tactic?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would be the main objective or purpose of this particular tactic?</w:t>
            </w:r>
          </w:p>
        </w:tc>
      </w:tr>
      <w:tr>
        <w:trPr>
          <w:trHeight w:val="10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Memorabilia (Buttons, sashes, ribbons, postcards, etc.)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Petitions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Speeches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Conventions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Parades &amp; Envoys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Newspapers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Picketing &amp; Protests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1650"/>
        <w:gridCol w:w="1635"/>
        <w:gridCol w:w="7560"/>
        <w:tblGridChange w:id="0">
          <w:tblGrid>
            <w:gridCol w:w="2115"/>
            <w:gridCol w:w="1650"/>
            <w:gridCol w:w="1635"/>
            <w:gridCol w:w="7560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Types of Tactics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Moderate?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Radical or Militant? 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Rationale &amp; Reasons for Your Choices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Buttons, sashes, ribbons, postcards, etc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Lobbying &amp; Petitions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Speeches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Conventions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Parades &amp; Envoys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Newspapers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Picketing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Respond to the following questions: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imagery, symbols, word choices, and colors stood out to you across these tactics? 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the “Reasons For/Against Women’s Suffrage” table to help you respond to this question. How did these tactics convey suffragists’ arguments for suffrage? How did these tactics address and/or combat the arguments of anti-suffragists? 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benefits of conservative/moderate tactics? What are the drawbacks? Why?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benefits of radical tactics? What are the drawbacks? Why?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tactics do you think are the most effective in making changes? Why?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you had been a suffragist, which tactics would you have personally used? Why?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widowControl w:val="0"/>
      <w:spacing w:line="240" w:lineRule="auto"/>
      <w:jc w:val="center"/>
      <w:rPr/>
    </w:pPr>
    <w:r w:rsidDel="00000000" w:rsidR="00000000" w:rsidRPr="00000000">
      <w:rPr>
        <w:sz w:val="16"/>
        <w:szCs w:val="16"/>
      </w:rPr>
      <w:drawing>
        <wp:inline distB="114300" distT="114300" distL="114300" distR="114300">
          <wp:extent cx="785880" cy="2968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5880" cy="2968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16"/>
        <w:szCs w:val="16"/>
        <w:rtl w:val="0"/>
      </w:rPr>
      <w:t xml:space="preserve">This work is licensed under a Creative Commons Attribution 4.0 International License, Better Days 2020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TACTICS USED BY WOMEN’S SUFFRAGE ORGANIZATIONS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